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61FAD" w14:textId="77777777" w:rsidR="00D015FC" w:rsidRPr="00D015FC" w:rsidRDefault="00D015FC" w:rsidP="00D015FC">
      <w:pPr>
        <w:shd w:val="clear" w:color="auto" w:fill="FFFFFF"/>
        <w:outlineLvl w:val="0"/>
        <w:rPr>
          <w:rFonts w:ascii="Lato" w:eastAsia="Times New Roman" w:hAnsi="Lato" w:cs="Times New Roman"/>
          <w:color w:val="CC3300"/>
          <w:kern w:val="36"/>
          <w:sz w:val="36"/>
          <w:szCs w:val="36"/>
          <w:lang w:eastAsia="fr-FR"/>
        </w:rPr>
      </w:pPr>
      <w:r w:rsidRPr="00D015FC">
        <w:rPr>
          <w:rFonts w:ascii="Lato" w:eastAsia="Times New Roman" w:hAnsi="Lato" w:cs="Times New Roman"/>
          <w:color w:val="CC3300"/>
          <w:kern w:val="36"/>
          <w:sz w:val="36"/>
          <w:szCs w:val="36"/>
          <w:lang w:eastAsia="fr-FR"/>
        </w:rPr>
        <w:t>Le marché craint une hausse des taux U.S.</w:t>
      </w:r>
    </w:p>
    <w:p w14:paraId="25D84CC3" w14:textId="77777777" w:rsidR="00D015FC" w:rsidRDefault="00D015FC" w:rsidP="00D015FC">
      <w:pPr>
        <w:shd w:val="clear" w:color="auto" w:fill="FFFFFF"/>
        <w:spacing w:before="75" w:after="75"/>
        <w:jc w:val="both"/>
        <w:rPr>
          <w:rFonts w:ascii="Lato" w:eastAsia="Times New Roman" w:hAnsi="Lato" w:cs="Times New Roman"/>
          <w:i/>
          <w:iCs/>
          <w:color w:val="000000"/>
          <w:sz w:val="23"/>
          <w:szCs w:val="23"/>
          <w:lang w:eastAsia="fr-FR"/>
        </w:rPr>
      </w:pPr>
    </w:p>
    <w:p w14:paraId="4FDA93B1" w14:textId="488B5F6A" w:rsidR="00D015FC" w:rsidRPr="00D015FC" w:rsidRDefault="00D015FC" w:rsidP="00D015FC">
      <w:pPr>
        <w:shd w:val="clear" w:color="auto" w:fill="FFFFFF"/>
        <w:spacing w:before="75" w:after="75"/>
        <w:jc w:val="both"/>
        <w:rPr>
          <w:rFonts w:ascii="Lato" w:eastAsia="Times New Roman" w:hAnsi="Lato" w:cs="Times New Roman"/>
          <w:color w:val="000000"/>
          <w:sz w:val="23"/>
          <w:szCs w:val="23"/>
          <w:lang w:eastAsia="fr-FR"/>
        </w:rPr>
      </w:pPr>
      <w:r w:rsidRPr="00D015FC">
        <w:rPr>
          <w:rFonts w:ascii="Lato" w:eastAsia="Times New Roman" w:hAnsi="Lato" w:cs="Times New Roman"/>
          <w:color w:val="000000"/>
          <w:sz w:val="23"/>
          <w:szCs w:val="23"/>
          <w:lang w:eastAsia="fr-FR"/>
        </w:rPr>
        <w:t>Les prises de bénéfices, en début de semaine sur les marchés de Londres (LME) et de Shanghai (</w:t>
      </w:r>
      <w:proofErr w:type="spellStart"/>
      <w:r w:rsidRPr="00D015FC">
        <w:rPr>
          <w:rFonts w:ascii="Lato" w:eastAsia="Times New Roman" w:hAnsi="Lato" w:cs="Times New Roman"/>
          <w:color w:val="000000"/>
          <w:sz w:val="23"/>
          <w:szCs w:val="23"/>
          <w:lang w:eastAsia="fr-FR"/>
        </w:rPr>
        <w:t>ShFE</w:t>
      </w:r>
      <w:proofErr w:type="spellEnd"/>
      <w:r w:rsidRPr="00D015FC">
        <w:rPr>
          <w:rFonts w:ascii="Lato" w:eastAsia="Times New Roman" w:hAnsi="Lato" w:cs="Times New Roman"/>
          <w:color w:val="000000"/>
          <w:sz w:val="23"/>
          <w:szCs w:val="23"/>
          <w:lang w:eastAsia="fr-FR"/>
        </w:rPr>
        <w:t>), alors que se profilait ce mardi la réunion du comité de politique monétaire de la Fed, ont pesé sur les cours. «</w:t>
      </w:r>
      <w:r w:rsidRPr="00D015FC">
        <w:rPr>
          <w:rFonts w:ascii="Lato" w:eastAsia="Times New Roman" w:hAnsi="Lato" w:cs="Times New Roman"/>
          <w:i/>
          <w:iCs/>
          <w:color w:val="000000"/>
          <w:sz w:val="23"/>
          <w:szCs w:val="23"/>
          <w:lang w:eastAsia="fr-FR"/>
        </w:rPr>
        <w:t> Le mouvement d’aversion au risque, lié aux craintes de hausse des taux de la Fed, pèse sur les métaux de base</w:t>
      </w:r>
      <w:r w:rsidRPr="00D015FC">
        <w:rPr>
          <w:rFonts w:ascii="Lato" w:eastAsia="Times New Roman" w:hAnsi="Lato" w:cs="Times New Roman"/>
          <w:color w:val="000000"/>
          <w:sz w:val="23"/>
          <w:szCs w:val="23"/>
          <w:lang w:eastAsia="fr-FR"/>
        </w:rPr>
        <w:t xml:space="preserve"> », a commenté Tom </w:t>
      </w:r>
      <w:proofErr w:type="spellStart"/>
      <w:r w:rsidRPr="00D015FC">
        <w:rPr>
          <w:rFonts w:ascii="Lato" w:eastAsia="Times New Roman" w:hAnsi="Lato" w:cs="Times New Roman"/>
          <w:color w:val="000000"/>
          <w:sz w:val="23"/>
          <w:szCs w:val="23"/>
          <w:lang w:eastAsia="fr-FR"/>
        </w:rPr>
        <w:t>Mulqueen</w:t>
      </w:r>
      <w:proofErr w:type="spellEnd"/>
      <w:r w:rsidRPr="00D015FC">
        <w:rPr>
          <w:rFonts w:ascii="Lato" w:eastAsia="Times New Roman" w:hAnsi="Lato" w:cs="Times New Roman"/>
          <w:color w:val="000000"/>
          <w:sz w:val="23"/>
          <w:szCs w:val="23"/>
          <w:lang w:eastAsia="fr-FR"/>
        </w:rPr>
        <w:t xml:space="preserve">, analyste chez </w:t>
      </w:r>
      <w:proofErr w:type="spellStart"/>
      <w:r w:rsidRPr="00D015FC">
        <w:rPr>
          <w:rFonts w:ascii="Lato" w:eastAsia="Times New Roman" w:hAnsi="Lato" w:cs="Times New Roman"/>
          <w:color w:val="000000"/>
          <w:sz w:val="23"/>
          <w:szCs w:val="23"/>
          <w:lang w:eastAsia="fr-FR"/>
        </w:rPr>
        <w:t>Amalgamated</w:t>
      </w:r>
      <w:proofErr w:type="spellEnd"/>
      <w:r w:rsidRPr="00D015FC">
        <w:rPr>
          <w:rFonts w:ascii="Lato" w:eastAsia="Times New Roman" w:hAnsi="Lato" w:cs="Times New Roman"/>
          <w:color w:val="000000"/>
          <w:sz w:val="23"/>
          <w:szCs w:val="23"/>
          <w:lang w:eastAsia="fr-FR"/>
        </w:rPr>
        <w:t xml:space="preserve"> </w:t>
      </w:r>
      <w:proofErr w:type="spellStart"/>
      <w:r w:rsidRPr="00D015FC">
        <w:rPr>
          <w:rFonts w:ascii="Lato" w:eastAsia="Times New Roman" w:hAnsi="Lato" w:cs="Times New Roman"/>
          <w:color w:val="000000"/>
          <w:sz w:val="23"/>
          <w:szCs w:val="23"/>
          <w:lang w:eastAsia="fr-FR"/>
        </w:rPr>
        <w:t>Metal</w:t>
      </w:r>
      <w:proofErr w:type="spellEnd"/>
      <w:r w:rsidRPr="00D015FC">
        <w:rPr>
          <w:rFonts w:ascii="Lato" w:eastAsia="Times New Roman" w:hAnsi="Lato" w:cs="Times New Roman"/>
          <w:color w:val="000000"/>
          <w:sz w:val="23"/>
          <w:szCs w:val="23"/>
          <w:lang w:eastAsia="fr-FR"/>
        </w:rPr>
        <w:t xml:space="preserve"> Trading. « </w:t>
      </w:r>
      <w:r w:rsidRPr="00D015FC">
        <w:rPr>
          <w:rFonts w:ascii="Lato" w:eastAsia="Times New Roman" w:hAnsi="Lato" w:cs="Times New Roman"/>
          <w:i/>
          <w:iCs/>
          <w:color w:val="000000"/>
          <w:sz w:val="23"/>
          <w:szCs w:val="23"/>
          <w:lang w:eastAsia="fr-FR"/>
        </w:rPr>
        <w:t>Les métaux, et plus particulièrement le nickel, se sont montrés robustes ces deux dernières semaines, l’heure est maintenant à la consolidation</w:t>
      </w:r>
      <w:r w:rsidRPr="00D015FC">
        <w:rPr>
          <w:rFonts w:ascii="Lato" w:eastAsia="Times New Roman" w:hAnsi="Lato" w:cs="Times New Roman"/>
          <w:color w:val="000000"/>
          <w:sz w:val="23"/>
          <w:szCs w:val="23"/>
          <w:lang w:eastAsia="fr-FR"/>
        </w:rPr>
        <w:t> », ajoute-t-il. Les banquiers de la Fed ont déclaré que les hausses des taux débuteraient probablement dès le mois de mars, ce qui a contribué à raffermir le billet vert, rendant de fait les matières premières, libellées dans cette devise, plus onéreuses pour les détenteurs d’autres devises.</w:t>
      </w:r>
    </w:p>
    <w:p w14:paraId="0F60C68B" w14:textId="77777777" w:rsidR="00D015FC" w:rsidRPr="00D015FC" w:rsidRDefault="00D015FC" w:rsidP="00D015FC">
      <w:pPr>
        <w:shd w:val="clear" w:color="auto" w:fill="FFFFFF"/>
        <w:spacing w:before="75" w:after="75"/>
        <w:jc w:val="both"/>
        <w:rPr>
          <w:rFonts w:ascii="Lato" w:eastAsia="Times New Roman" w:hAnsi="Lato" w:cs="Times New Roman"/>
          <w:color w:val="000000"/>
          <w:sz w:val="23"/>
          <w:szCs w:val="23"/>
          <w:lang w:eastAsia="fr-FR"/>
        </w:rPr>
      </w:pPr>
      <w:r w:rsidRPr="00D015FC">
        <w:rPr>
          <w:rFonts w:ascii="Lato" w:eastAsia="Times New Roman" w:hAnsi="Lato" w:cs="Times New Roman"/>
          <w:color w:val="000000"/>
          <w:sz w:val="23"/>
          <w:szCs w:val="23"/>
          <w:lang w:eastAsia="fr-FR"/>
        </w:rPr>
        <w:t> </w:t>
      </w:r>
    </w:p>
    <w:p w14:paraId="0EAD82CA" w14:textId="77777777" w:rsidR="00D015FC" w:rsidRPr="00D015FC" w:rsidRDefault="00D015FC" w:rsidP="00D015FC">
      <w:pPr>
        <w:shd w:val="clear" w:color="auto" w:fill="FFFFFF"/>
        <w:spacing w:before="75" w:after="75"/>
        <w:jc w:val="both"/>
        <w:rPr>
          <w:rFonts w:ascii="Lato" w:eastAsia="Times New Roman" w:hAnsi="Lato" w:cs="Times New Roman"/>
          <w:color w:val="000000"/>
          <w:sz w:val="23"/>
          <w:szCs w:val="23"/>
          <w:lang w:eastAsia="fr-FR"/>
        </w:rPr>
      </w:pPr>
      <w:r w:rsidRPr="00D015FC">
        <w:rPr>
          <w:rFonts w:ascii="Lato" w:eastAsia="Times New Roman" w:hAnsi="Lato" w:cs="Times New Roman"/>
          <w:b/>
          <w:bCs/>
          <w:color w:val="A52A2A"/>
          <w:sz w:val="23"/>
          <w:szCs w:val="23"/>
          <w:lang w:eastAsia="fr-FR"/>
        </w:rPr>
        <w:t>Volatilité du nickel</w:t>
      </w:r>
    </w:p>
    <w:p w14:paraId="317F2D04" w14:textId="77777777" w:rsidR="00D015FC" w:rsidRPr="00D015FC" w:rsidRDefault="00D015FC" w:rsidP="00D015FC">
      <w:pPr>
        <w:shd w:val="clear" w:color="auto" w:fill="FFFFFF"/>
        <w:spacing w:before="75" w:after="75"/>
        <w:jc w:val="both"/>
        <w:rPr>
          <w:rFonts w:ascii="Lato" w:eastAsia="Times New Roman" w:hAnsi="Lato" w:cs="Times New Roman"/>
          <w:color w:val="000000"/>
          <w:sz w:val="23"/>
          <w:szCs w:val="23"/>
          <w:lang w:eastAsia="fr-FR"/>
        </w:rPr>
      </w:pPr>
      <w:r w:rsidRPr="00D015FC">
        <w:rPr>
          <w:rFonts w:ascii="Lato" w:eastAsia="Times New Roman" w:hAnsi="Lato" w:cs="Times New Roman"/>
          <w:color w:val="000000"/>
          <w:sz w:val="23"/>
          <w:szCs w:val="23"/>
          <w:lang w:eastAsia="fr-FR"/>
        </w:rPr>
        <w:t xml:space="preserve">Généralisées à l’ensemble du complexe, ces prises de bénéfices ont été particulièrement marquées pour le nickel, dont les cours font preuve d’une extrême volatilité ces derniers jours : le métal du diable, après avoir dévissé de 6,8 % lundi 24, perdait encore 1,62 % sur le LME ce mardi, à 22.040 dollars. Rappelons qu’il a touché la semaine dernière son plus haut depuis août 2011, à 24.435 dollars. La correction est très forte aussi sur le </w:t>
      </w:r>
      <w:proofErr w:type="spellStart"/>
      <w:r w:rsidRPr="00D015FC">
        <w:rPr>
          <w:rFonts w:ascii="Lato" w:eastAsia="Times New Roman" w:hAnsi="Lato" w:cs="Times New Roman"/>
          <w:color w:val="000000"/>
          <w:sz w:val="23"/>
          <w:szCs w:val="23"/>
          <w:lang w:eastAsia="fr-FR"/>
        </w:rPr>
        <w:t>ShFE</w:t>
      </w:r>
      <w:proofErr w:type="spellEnd"/>
      <w:r w:rsidRPr="00D015FC">
        <w:rPr>
          <w:rFonts w:ascii="Lato" w:eastAsia="Times New Roman" w:hAnsi="Lato" w:cs="Times New Roman"/>
          <w:color w:val="000000"/>
          <w:sz w:val="23"/>
          <w:szCs w:val="23"/>
          <w:lang w:eastAsia="fr-FR"/>
        </w:rPr>
        <w:t>, où le contrat le plus négocié (échéance mars) a chuté en cours d’échanges de sa limite quotidienne autorisée (8 %), à 163.460 yuans (25.823,88 dollars) la tonne — lundi dernier, le même contrat a établi un nouveau record à la hausse (180.000 yuans). Le nickel fait visiblement l’objet de mouvements spéculatifs car, du point des fondamentaux, rien n’a véritablement changé ces deux derniers jours : «</w:t>
      </w:r>
      <w:r w:rsidRPr="00D015FC">
        <w:rPr>
          <w:rFonts w:ascii="Lato" w:eastAsia="Times New Roman" w:hAnsi="Lato" w:cs="Times New Roman"/>
          <w:i/>
          <w:iCs/>
          <w:color w:val="000000"/>
          <w:sz w:val="23"/>
          <w:szCs w:val="23"/>
          <w:lang w:eastAsia="fr-FR"/>
        </w:rPr>
        <w:t> Les stocks mondiaux de métal affiné sont à des niveaux très bas et continuent de reculer</w:t>
      </w:r>
      <w:r w:rsidRPr="00D015FC">
        <w:rPr>
          <w:rFonts w:ascii="Lato" w:eastAsia="Times New Roman" w:hAnsi="Lato" w:cs="Times New Roman"/>
          <w:color w:val="000000"/>
          <w:sz w:val="23"/>
          <w:szCs w:val="23"/>
          <w:lang w:eastAsia="fr-FR"/>
        </w:rPr>
        <w:t xml:space="preserve"> », rappelle une note de </w:t>
      </w:r>
      <w:proofErr w:type="spellStart"/>
      <w:r w:rsidRPr="00D015FC">
        <w:rPr>
          <w:rFonts w:ascii="Lato" w:eastAsia="Times New Roman" w:hAnsi="Lato" w:cs="Times New Roman"/>
          <w:color w:val="000000"/>
          <w:sz w:val="23"/>
          <w:szCs w:val="23"/>
          <w:lang w:eastAsia="fr-FR"/>
        </w:rPr>
        <w:t>Huatai</w:t>
      </w:r>
      <w:proofErr w:type="spellEnd"/>
      <w:r w:rsidRPr="00D015FC">
        <w:rPr>
          <w:rFonts w:ascii="Lato" w:eastAsia="Times New Roman" w:hAnsi="Lato" w:cs="Times New Roman"/>
          <w:color w:val="000000"/>
          <w:sz w:val="23"/>
          <w:szCs w:val="23"/>
          <w:lang w:eastAsia="fr-FR"/>
        </w:rPr>
        <w:t xml:space="preserve"> Futures.  De fait, les stocks de nickel ont chuté de 65 % depuis avril dernier. On notera au passage que les stocks d’aluminium et de cuivre, ont dévissé de, respectivement, 56 % et 60 %.</w:t>
      </w:r>
    </w:p>
    <w:p w14:paraId="76EEBDAE" w14:textId="77777777" w:rsidR="00D015FC" w:rsidRPr="00D015FC" w:rsidRDefault="00D015FC" w:rsidP="00D015FC">
      <w:pPr>
        <w:shd w:val="clear" w:color="auto" w:fill="FFFFFF"/>
        <w:spacing w:before="75" w:after="75"/>
        <w:jc w:val="both"/>
        <w:rPr>
          <w:rFonts w:ascii="Lato" w:eastAsia="Times New Roman" w:hAnsi="Lato" w:cs="Times New Roman"/>
          <w:color w:val="000000"/>
          <w:sz w:val="23"/>
          <w:szCs w:val="23"/>
          <w:lang w:eastAsia="fr-FR"/>
        </w:rPr>
      </w:pPr>
      <w:r w:rsidRPr="00D015FC">
        <w:rPr>
          <w:rFonts w:ascii="Lato" w:eastAsia="Times New Roman" w:hAnsi="Lato" w:cs="Times New Roman"/>
          <w:color w:val="000000"/>
          <w:sz w:val="23"/>
          <w:szCs w:val="23"/>
          <w:lang w:eastAsia="fr-FR"/>
        </w:rPr>
        <w:t> </w:t>
      </w:r>
    </w:p>
    <w:p w14:paraId="3FEFA423" w14:textId="77777777" w:rsidR="00D015FC" w:rsidRPr="00D015FC" w:rsidRDefault="00D015FC" w:rsidP="00D015FC">
      <w:pPr>
        <w:shd w:val="clear" w:color="auto" w:fill="FFFFFF"/>
        <w:spacing w:before="75" w:after="75"/>
        <w:jc w:val="both"/>
        <w:rPr>
          <w:rFonts w:ascii="Lato" w:eastAsia="Times New Roman" w:hAnsi="Lato" w:cs="Times New Roman"/>
          <w:color w:val="000000"/>
          <w:sz w:val="23"/>
          <w:szCs w:val="23"/>
          <w:lang w:eastAsia="fr-FR"/>
        </w:rPr>
      </w:pPr>
      <w:r w:rsidRPr="00D015FC">
        <w:rPr>
          <w:rFonts w:ascii="Lato" w:eastAsia="Times New Roman" w:hAnsi="Lato" w:cs="Times New Roman"/>
          <w:b/>
          <w:bCs/>
          <w:color w:val="A52A2A"/>
          <w:sz w:val="23"/>
          <w:szCs w:val="23"/>
          <w:lang w:eastAsia="fr-FR"/>
        </w:rPr>
        <w:t>L’aluminium tient bon</w:t>
      </w:r>
    </w:p>
    <w:p w14:paraId="6778AA27" w14:textId="77777777" w:rsidR="00D015FC" w:rsidRPr="00D015FC" w:rsidRDefault="00D015FC" w:rsidP="00D015FC">
      <w:pPr>
        <w:shd w:val="clear" w:color="auto" w:fill="FFFFFF"/>
        <w:spacing w:before="75" w:after="75"/>
        <w:jc w:val="both"/>
        <w:rPr>
          <w:rFonts w:ascii="Lato" w:eastAsia="Times New Roman" w:hAnsi="Lato" w:cs="Times New Roman"/>
          <w:color w:val="000000"/>
          <w:sz w:val="23"/>
          <w:szCs w:val="23"/>
          <w:lang w:eastAsia="fr-FR"/>
        </w:rPr>
      </w:pPr>
      <w:r w:rsidRPr="00D015FC">
        <w:rPr>
          <w:rFonts w:ascii="Lato" w:eastAsia="Times New Roman" w:hAnsi="Lato" w:cs="Times New Roman"/>
          <w:color w:val="000000"/>
          <w:sz w:val="23"/>
          <w:szCs w:val="23"/>
          <w:lang w:eastAsia="fr-FR"/>
        </w:rPr>
        <w:t xml:space="preserve">Le cours de l'aluminium, qui avait atteint un plus haut depuis 2008 en tout début de semaine dernière, est resté solide, évoluant un peu en dessous des 3.000 dollars la tonne sur le London </w:t>
      </w:r>
      <w:proofErr w:type="spellStart"/>
      <w:r w:rsidRPr="00D015FC">
        <w:rPr>
          <w:rFonts w:ascii="Lato" w:eastAsia="Times New Roman" w:hAnsi="Lato" w:cs="Times New Roman"/>
          <w:color w:val="000000"/>
          <w:sz w:val="23"/>
          <w:szCs w:val="23"/>
          <w:lang w:eastAsia="fr-FR"/>
        </w:rPr>
        <w:t>Metal</w:t>
      </w:r>
      <w:proofErr w:type="spellEnd"/>
      <w:r w:rsidRPr="00D015FC">
        <w:rPr>
          <w:rFonts w:ascii="Lato" w:eastAsia="Times New Roman" w:hAnsi="Lato" w:cs="Times New Roman"/>
          <w:color w:val="000000"/>
          <w:sz w:val="23"/>
          <w:szCs w:val="23"/>
          <w:lang w:eastAsia="fr-FR"/>
        </w:rPr>
        <w:t xml:space="preserve"> Exchange (LME).</w:t>
      </w:r>
    </w:p>
    <w:p w14:paraId="1B249966" w14:textId="77777777" w:rsidR="00D015FC" w:rsidRPr="00D015FC" w:rsidRDefault="00D015FC" w:rsidP="00D015FC">
      <w:pPr>
        <w:shd w:val="clear" w:color="auto" w:fill="FFFFFF"/>
        <w:spacing w:before="75" w:after="75"/>
        <w:jc w:val="both"/>
        <w:rPr>
          <w:rFonts w:ascii="Lato" w:eastAsia="Times New Roman" w:hAnsi="Lato" w:cs="Times New Roman"/>
          <w:color w:val="000000"/>
          <w:sz w:val="23"/>
          <w:szCs w:val="23"/>
          <w:lang w:eastAsia="fr-FR"/>
        </w:rPr>
      </w:pPr>
      <w:r w:rsidRPr="00D015FC">
        <w:rPr>
          <w:rFonts w:ascii="Lato" w:eastAsia="Times New Roman" w:hAnsi="Lato" w:cs="Times New Roman"/>
          <w:color w:val="000000"/>
          <w:sz w:val="23"/>
          <w:szCs w:val="23"/>
          <w:lang w:eastAsia="fr-FR"/>
        </w:rPr>
        <w:t>« </w:t>
      </w:r>
      <w:r w:rsidRPr="00D015FC">
        <w:rPr>
          <w:rFonts w:ascii="Lato" w:eastAsia="Times New Roman" w:hAnsi="Lato" w:cs="Times New Roman"/>
          <w:i/>
          <w:iCs/>
          <w:color w:val="000000"/>
          <w:sz w:val="23"/>
          <w:szCs w:val="23"/>
          <w:lang w:eastAsia="fr-FR"/>
        </w:rPr>
        <w:t>La plus forte croissance de la demande depuis plus de dix ans, les réductions de production dans le sud de la Chine et le coup d'État en Guinée (grand producteur de bauxite, minerai qui est transformé en aluminium, ndlr) </w:t>
      </w:r>
      <w:r w:rsidRPr="00D015FC">
        <w:rPr>
          <w:rFonts w:ascii="Lato" w:eastAsia="Times New Roman" w:hAnsi="Lato" w:cs="Times New Roman"/>
          <w:color w:val="000000"/>
          <w:sz w:val="23"/>
          <w:szCs w:val="23"/>
          <w:lang w:eastAsia="fr-FR"/>
        </w:rPr>
        <w:t>» sont toujours à l'œuvre, estime Martin Jackson, de CRU Group.</w:t>
      </w:r>
    </w:p>
    <w:p w14:paraId="661DA1DD" w14:textId="77777777" w:rsidR="00D015FC" w:rsidRPr="00D015FC" w:rsidRDefault="00D015FC" w:rsidP="00D015FC">
      <w:pPr>
        <w:shd w:val="clear" w:color="auto" w:fill="FFFFFF"/>
        <w:spacing w:before="75" w:after="75"/>
        <w:jc w:val="both"/>
        <w:rPr>
          <w:rFonts w:ascii="Lato" w:eastAsia="Times New Roman" w:hAnsi="Lato" w:cs="Times New Roman"/>
          <w:color w:val="000000"/>
          <w:sz w:val="23"/>
          <w:szCs w:val="23"/>
          <w:lang w:eastAsia="fr-FR"/>
        </w:rPr>
      </w:pPr>
      <w:r w:rsidRPr="00D015FC">
        <w:rPr>
          <w:rFonts w:ascii="Lato" w:eastAsia="Times New Roman" w:hAnsi="Lato" w:cs="Times New Roman"/>
          <w:color w:val="000000"/>
          <w:sz w:val="23"/>
          <w:szCs w:val="23"/>
          <w:lang w:eastAsia="fr-FR"/>
        </w:rPr>
        <w:t>L'aluminium a entamé une régulière et forte remontée depuis un plancher heurté en avril 2020, au début de la pandémie de Covid-19. Son cours a depuis été multiplié par deux.</w:t>
      </w:r>
    </w:p>
    <w:p w14:paraId="19D783E3" w14:textId="77777777" w:rsidR="00D015FC" w:rsidRPr="00D015FC" w:rsidRDefault="00D015FC" w:rsidP="00D015FC">
      <w:pPr>
        <w:shd w:val="clear" w:color="auto" w:fill="FFFFFF"/>
        <w:spacing w:before="75" w:after="75"/>
        <w:jc w:val="both"/>
        <w:rPr>
          <w:rFonts w:ascii="Lato" w:eastAsia="Times New Roman" w:hAnsi="Lato" w:cs="Times New Roman"/>
          <w:color w:val="000000"/>
          <w:sz w:val="23"/>
          <w:szCs w:val="23"/>
          <w:lang w:eastAsia="fr-FR"/>
        </w:rPr>
      </w:pPr>
      <w:r w:rsidRPr="00D015FC">
        <w:rPr>
          <w:rFonts w:ascii="Lato" w:eastAsia="Times New Roman" w:hAnsi="Lato" w:cs="Times New Roman"/>
          <w:color w:val="000000"/>
          <w:sz w:val="23"/>
          <w:szCs w:val="23"/>
          <w:lang w:eastAsia="fr-FR"/>
        </w:rPr>
        <w:t> </w:t>
      </w:r>
    </w:p>
    <w:p w14:paraId="7BEB64D1" w14:textId="77777777" w:rsidR="00D015FC" w:rsidRPr="00D015FC" w:rsidRDefault="00D015FC" w:rsidP="00D015FC">
      <w:pPr>
        <w:shd w:val="clear" w:color="auto" w:fill="FFFFFF"/>
        <w:spacing w:before="75" w:after="75"/>
        <w:jc w:val="both"/>
        <w:rPr>
          <w:rFonts w:ascii="Lato" w:eastAsia="Times New Roman" w:hAnsi="Lato" w:cs="Times New Roman"/>
          <w:color w:val="000000"/>
          <w:sz w:val="23"/>
          <w:szCs w:val="23"/>
          <w:lang w:eastAsia="fr-FR"/>
        </w:rPr>
      </w:pPr>
      <w:r w:rsidRPr="00D015FC">
        <w:rPr>
          <w:rFonts w:ascii="Lato" w:eastAsia="Times New Roman" w:hAnsi="Lato" w:cs="Times New Roman"/>
          <w:b/>
          <w:bCs/>
          <w:color w:val="A52A2A"/>
          <w:sz w:val="23"/>
          <w:szCs w:val="23"/>
          <w:lang w:eastAsia="fr-FR"/>
        </w:rPr>
        <w:t>Tensions sur l’offre en étain</w:t>
      </w:r>
    </w:p>
    <w:p w14:paraId="10879F76" w14:textId="77777777" w:rsidR="00D015FC" w:rsidRPr="00D015FC" w:rsidRDefault="00D015FC" w:rsidP="00D015FC">
      <w:pPr>
        <w:shd w:val="clear" w:color="auto" w:fill="FFFFFF"/>
        <w:spacing w:before="75" w:after="75"/>
        <w:jc w:val="both"/>
        <w:rPr>
          <w:rFonts w:ascii="Lato" w:eastAsia="Times New Roman" w:hAnsi="Lato" w:cs="Times New Roman"/>
          <w:color w:val="000000"/>
          <w:sz w:val="23"/>
          <w:szCs w:val="23"/>
          <w:lang w:eastAsia="fr-FR"/>
        </w:rPr>
      </w:pPr>
      <w:r w:rsidRPr="00D015FC">
        <w:rPr>
          <w:rFonts w:ascii="Lato" w:eastAsia="Times New Roman" w:hAnsi="Lato" w:cs="Times New Roman"/>
          <w:color w:val="000000"/>
          <w:sz w:val="23"/>
          <w:szCs w:val="23"/>
          <w:lang w:eastAsia="fr-FR"/>
        </w:rPr>
        <w:t>L'étain était également bien orienté cette semaine, atteignant vendredi un nouveau record historique à 36.830 dollars la tonne « </w:t>
      </w:r>
      <w:r w:rsidRPr="00D015FC">
        <w:rPr>
          <w:rFonts w:ascii="Lato" w:eastAsia="Times New Roman" w:hAnsi="Lato" w:cs="Times New Roman"/>
          <w:i/>
          <w:iCs/>
          <w:color w:val="000000"/>
          <w:sz w:val="23"/>
          <w:szCs w:val="23"/>
          <w:lang w:eastAsia="fr-FR"/>
        </w:rPr>
        <w:t>en raison des inquiétudes concernant l'offre, après que des fonderies de Hubei ont suspendu leur production en début de semaine </w:t>
      </w:r>
      <w:r w:rsidRPr="00D015FC">
        <w:rPr>
          <w:rFonts w:ascii="Lato" w:eastAsia="Times New Roman" w:hAnsi="Lato" w:cs="Times New Roman"/>
          <w:color w:val="000000"/>
          <w:sz w:val="23"/>
          <w:szCs w:val="23"/>
          <w:lang w:eastAsia="fr-FR"/>
        </w:rPr>
        <w:t xml:space="preserve">», rapporte Anna </w:t>
      </w:r>
      <w:proofErr w:type="spellStart"/>
      <w:r w:rsidRPr="00D015FC">
        <w:rPr>
          <w:rFonts w:ascii="Lato" w:eastAsia="Times New Roman" w:hAnsi="Lato" w:cs="Times New Roman"/>
          <w:color w:val="000000"/>
          <w:sz w:val="23"/>
          <w:szCs w:val="23"/>
          <w:lang w:eastAsia="fr-FR"/>
        </w:rPr>
        <w:t>Stablum</w:t>
      </w:r>
      <w:proofErr w:type="spellEnd"/>
      <w:r w:rsidRPr="00D015FC">
        <w:rPr>
          <w:rFonts w:ascii="Lato" w:eastAsia="Times New Roman" w:hAnsi="Lato" w:cs="Times New Roman"/>
          <w:color w:val="000000"/>
          <w:sz w:val="23"/>
          <w:szCs w:val="23"/>
          <w:lang w:eastAsia="fr-FR"/>
        </w:rPr>
        <w:t xml:space="preserve">, de </w:t>
      </w:r>
      <w:proofErr w:type="spellStart"/>
      <w:r w:rsidRPr="00D015FC">
        <w:rPr>
          <w:rFonts w:ascii="Lato" w:eastAsia="Times New Roman" w:hAnsi="Lato" w:cs="Times New Roman"/>
          <w:color w:val="000000"/>
          <w:sz w:val="23"/>
          <w:szCs w:val="23"/>
          <w:lang w:eastAsia="fr-FR"/>
        </w:rPr>
        <w:t>Marex</w:t>
      </w:r>
      <w:proofErr w:type="spellEnd"/>
      <w:r w:rsidRPr="00D015FC">
        <w:rPr>
          <w:rFonts w:ascii="Lato" w:eastAsia="Times New Roman" w:hAnsi="Lato" w:cs="Times New Roman"/>
          <w:color w:val="000000"/>
          <w:sz w:val="23"/>
          <w:szCs w:val="23"/>
          <w:lang w:eastAsia="fr-FR"/>
        </w:rPr>
        <w:t xml:space="preserve"> </w:t>
      </w:r>
      <w:proofErr w:type="spellStart"/>
      <w:r w:rsidRPr="00D015FC">
        <w:rPr>
          <w:rFonts w:ascii="Lato" w:eastAsia="Times New Roman" w:hAnsi="Lato" w:cs="Times New Roman"/>
          <w:color w:val="000000"/>
          <w:sz w:val="23"/>
          <w:szCs w:val="23"/>
          <w:lang w:eastAsia="fr-FR"/>
        </w:rPr>
        <w:t>Spectron</w:t>
      </w:r>
      <w:proofErr w:type="spellEnd"/>
      <w:r w:rsidRPr="00D015FC">
        <w:rPr>
          <w:rFonts w:ascii="Lato" w:eastAsia="Times New Roman" w:hAnsi="Lato" w:cs="Times New Roman"/>
          <w:color w:val="000000"/>
          <w:sz w:val="23"/>
          <w:szCs w:val="23"/>
          <w:lang w:eastAsia="fr-FR"/>
        </w:rPr>
        <w:t>.</w:t>
      </w:r>
    </w:p>
    <w:p w14:paraId="3DFD3D52" w14:textId="77777777" w:rsidR="00D015FC" w:rsidRPr="00D015FC" w:rsidRDefault="00D015FC" w:rsidP="00D015FC">
      <w:pPr>
        <w:shd w:val="clear" w:color="auto" w:fill="FFFFFF"/>
        <w:spacing w:before="75" w:after="75"/>
        <w:jc w:val="both"/>
        <w:rPr>
          <w:rFonts w:ascii="Lato" w:eastAsia="Times New Roman" w:hAnsi="Lato" w:cs="Times New Roman"/>
          <w:color w:val="000000"/>
          <w:sz w:val="23"/>
          <w:szCs w:val="23"/>
          <w:lang w:eastAsia="fr-FR"/>
        </w:rPr>
      </w:pPr>
      <w:r w:rsidRPr="00D015FC">
        <w:rPr>
          <w:rFonts w:ascii="Lato" w:eastAsia="Times New Roman" w:hAnsi="Lato" w:cs="Times New Roman"/>
          <w:color w:val="000000"/>
          <w:sz w:val="23"/>
          <w:szCs w:val="23"/>
          <w:lang w:eastAsia="fr-FR"/>
        </w:rPr>
        <w:t xml:space="preserve">Le cuivre n’a pas échappé à l’aversion au risque qui s’empare des marchés boursiers et ce, en dépit du recul continu des stocks. Le métal rouge réussit toutefois à ‘sauver les meubles’ </w:t>
      </w:r>
      <w:r w:rsidRPr="00D015FC">
        <w:rPr>
          <w:rFonts w:ascii="Lato" w:eastAsia="Times New Roman" w:hAnsi="Lato" w:cs="Times New Roman"/>
          <w:color w:val="000000"/>
          <w:sz w:val="23"/>
          <w:szCs w:val="23"/>
          <w:lang w:eastAsia="fr-FR"/>
        </w:rPr>
        <w:lastRenderedPageBreak/>
        <w:t xml:space="preserve">puisque qu’il parvenait à se maintenir au-dessus des 9.600 dollars à l’heure où nous bouclons ce numéro. Même constat pour le zinc qui </w:t>
      </w:r>
      <w:proofErr w:type="spellStart"/>
      <w:r w:rsidRPr="00D015FC">
        <w:rPr>
          <w:rFonts w:ascii="Lato" w:eastAsia="Times New Roman" w:hAnsi="Lato" w:cs="Times New Roman"/>
          <w:color w:val="000000"/>
          <w:sz w:val="23"/>
          <w:szCs w:val="23"/>
          <w:lang w:eastAsia="fr-FR"/>
        </w:rPr>
        <w:t>grapille</w:t>
      </w:r>
      <w:proofErr w:type="spellEnd"/>
      <w:r w:rsidRPr="00D015FC">
        <w:rPr>
          <w:rFonts w:ascii="Lato" w:eastAsia="Times New Roman" w:hAnsi="Lato" w:cs="Times New Roman"/>
          <w:color w:val="000000"/>
          <w:sz w:val="23"/>
          <w:szCs w:val="23"/>
          <w:lang w:eastAsia="fr-FR"/>
        </w:rPr>
        <w:t xml:space="preserve"> même 40 dollars sur une semaine, à 3.575 dollars. Le plomb est stabilisé autour des 2.350 dollars.</w:t>
      </w:r>
    </w:p>
    <w:p w14:paraId="1742E32F" w14:textId="77777777" w:rsidR="00AE2242" w:rsidRDefault="00AE2242"/>
    <w:sectPr w:rsidR="00AE2242"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13B"/>
    <w:rsid w:val="000F156F"/>
    <w:rsid w:val="0013213B"/>
    <w:rsid w:val="00AE2242"/>
    <w:rsid w:val="00D015F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63100336"/>
  <w15:chartTrackingRefBased/>
  <w15:docId w15:val="{784A3F83-911C-AC4D-AB7C-2F5B35E7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D015FC"/>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15FC"/>
    <w:rPr>
      <w:rFonts w:ascii="Times New Roman" w:eastAsia="Times New Roman" w:hAnsi="Times New Roman" w:cs="Times New Roman"/>
      <w:b/>
      <w:bCs/>
      <w:kern w:val="36"/>
      <w:sz w:val="48"/>
      <w:szCs w:val="48"/>
      <w:lang w:eastAsia="fr-FR"/>
    </w:rPr>
  </w:style>
  <w:style w:type="paragraph" w:customStyle="1" w:styleId="infoarticle">
    <w:name w:val="info_article"/>
    <w:basedOn w:val="Normal"/>
    <w:rsid w:val="00D015FC"/>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D015FC"/>
    <w:rPr>
      <w:color w:val="0000FF"/>
      <w:u w:val="single"/>
    </w:rPr>
  </w:style>
  <w:style w:type="paragraph" w:styleId="NormalWeb">
    <w:name w:val="Normal (Web)"/>
    <w:basedOn w:val="Normal"/>
    <w:uiPriority w:val="99"/>
    <w:semiHidden/>
    <w:unhideWhenUsed/>
    <w:rsid w:val="00D015FC"/>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D015FC"/>
    <w:rPr>
      <w:i/>
      <w:iCs/>
    </w:rPr>
  </w:style>
  <w:style w:type="character" w:styleId="lev">
    <w:name w:val="Strong"/>
    <w:basedOn w:val="Policepardfaut"/>
    <w:uiPriority w:val="22"/>
    <w:qFormat/>
    <w:rsid w:val="00D015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14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2975</Characters>
  <Application>Microsoft Office Word</Application>
  <DocSecurity>0</DocSecurity>
  <Lines>24</Lines>
  <Paragraphs>7</Paragraphs>
  <ScaleCrop>false</ScaleCrop>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2</cp:revision>
  <dcterms:created xsi:type="dcterms:W3CDTF">2022-01-31T07:29:00Z</dcterms:created>
  <dcterms:modified xsi:type="dcterms:W3CDTF">2022-01-31T07:30:00Z</dcterms:modified>
</cp:coreProperties>
</file>